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遂宁市商务局关于《遂宁市“十五五”现代物流发展规划》编制项目比选公告</w:t>
      </w:r>
    </w:p>
    <w:p>
      <w:pPr>
        <w:widowControl/>
        <w:shd w:val="clear" w:color="auto" w:fill="FFFFFF"/>
        <w:spacing w:line="600" w:lineRule="atLeast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各相关单位、企业、机构：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我局拟开展《遂宁市“十五五”现代物流发展规划》编制项目。按照相关规定，拟向社会公开比选确定项目承办单位，现将有关事项通知如下。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一、项目简介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我局拟通过公开比选方式委托专业机构开展《遂宁市“十五五”现代物流发展规划》编制项目，在紧密围绕国家战略、四川省规划和遂宁市发展需要的基础上，通过实地调研，摸清全市现代物流发展总体情况，明确总体定位、发展目标，构建适应需求、布局合理、长远发展的现代物流体系，最终编制形成《遂宁市“十五五”现代物流发展规划》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二、项目内容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（一）服务内容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《遂宁市“十五五”现代物流发展规划》主要内容应包含（但不限于）以下方面：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</w:t>
      </w:r>
      <w:r>
        <w:rPr>
          <w:rFonts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）梳理发展现状，剖析发展环境。梳理和总结“十四五”期间遂宁市现代物流发展成效与存在问题。深入分析国内外社会经济现状和发展趋势，明晰遂宁市现代物流发展面临的新形势。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</w:t>
      </w:r>
      <w:r>
        <w:rPr>
          <w:rFonts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）确立指导思想，明确发展目标。根据遂宁市现代物流的现状和面临的形势，确立遂宁市“十五五”现代物流发展的指导思想，并进一步明确发展总体目标和具体目标。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</w:t>
      </w:r>
      <w:r>
        <w:rPr>
          <w:rFonts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）构建空间布局，阐释发展路径。立足遂宁市社会经济现状和发展趋势，构建遂宁市“十五五”现代物流发展的空间布局，分解细化目标，提出遂宁市现代物流发展的具体路径。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（二）成果要求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本项目提交的最终成果包括《遂宁市“十五五”现代物流发展规划》最终成果纸质文档10份，电子文档1份。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（三）服务时间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服务期：</w:t>
      </w:r>
      <w:r>
        <w:rPr>
          <w:rFonts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月—</w:t>
      </w:r>
      <w:r>
        <w:rPr>
          <w:rFonts w:eastAsia="方正仿宋_GBK" w:cs="Times New Roman"/>
          <w:color w:val="000000"/>
          <w:kern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月。</w:t>
      </w:r>
    </w:p>
    <w:p>
      <w:pPr>
        <w:widowControl/>
        <w:shd w:val="clear" w:color="auto" w:fill="FFFFFF"/>
        <w:spacing w:line="600" w:lineRule="atLeast"/>
        <w:ind w:firstLine="64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（四）人员配备要求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项目负责人和项目团队成员应熟悉遂宁市现代物流发展的相关情况，具备主持和从事类似项目研究的相关经验，能确保项目成果的前瞻性、科学性、可行性。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三、经费报价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本项目最高限价为</w:t>
      </w:r>
      <w:r>
        <w:rPr>
          <w:rFonts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万元人民币，超过最高限价的报价为无效报价。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四、资质条件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（一）参选单位应为在四川省注册的服务企业、或社团组织、或事业单位，注册成立时间距比选邀请发出时间一年以上；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（二）参选单位应满足《中华人民共和国政府采购法》第二十二条规定的条件（可提供承诺函）：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具有独立承担民事责任的能力；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具有良好的商业信誉和健全的财务会计制度；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具有履行合同所必需的设备和专业技术能力；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有依法缴纳税收和社会保障资金的良好记录；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参加政府采购活动前三年内，在经营活动中没有重大违法记录；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法律、行政法规规定的其他条件；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（三）本项目不接受联合体参加。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五、需提供的证明资料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参选单位需同时提交以下材料一式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份（正本一份、副本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份）：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（一）营业执照复印件</w:t>
      </w:r>
      <w:r>
        <w:rPr>
          <w:rFonts w:eastAsia="方正仿宋_GBK" w:cs="Times New Roman"/>
          <w:color w:val="000000"/>
          <w:kern w:val="0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扫描件或事业单位法人证书复印件</w:t>
      </w:r>
      <w:r>
        <w:rPr>
          <w:rFonts w:eastAsia="方正仿宋_GBK" w:cs="Times New Roman"/>
          <w:color w:val="000000"/>
          <w:kern w:val="0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扫描件（注：在有效期内）；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（二）法定代表人或授权代表身份证复印件；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（三）如授权参加比选的，须提供法定代表人授权书原件；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（四）符合《中华人民共和国政府采购法》第二十二条规定的相应证明材料及其他相关资质证明材料；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（五）根据采购内容制定的服务方案等材料；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（六）参选单位相关类似业绩证明；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（七）项目总报价及费用明细；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（八）相关承诺函；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（九）比选报名表（见附件，须加盖单位公章及单位负责人签章）。 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六、报名时间及所需资料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报名时间为2025年4月1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日-4月18日（限工作日上班期间），报名时需同时提交“需提供的证明材料”中第</w:t>
      </w:r>
      <w:r>
        <w:rPr>
          <w:rFonts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—</w:t>
      </w:r>
      <w:r>
        <w:rPr>
          <w:rFonts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项资料及比选报名表（附件</w:t>
      </w:r>
      <w:r>
        <w:rPr>
          <w:rFonts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）材料一式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份；报名材料交至遂宁市河东新区东升路65号5207办公室。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七、比选时间、地点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定于2025年4月22日（星期二）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，在遂宁市河东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新区东升路65号4218办公室进行比选。请参与比选的单位准时将比选材料密封带至比选现场，迟到作废。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八、比选方式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有意参加比选的单位，按要求向遂宁市商务局提交比选材料。遂宁市商务局相关科室对报名单位进行资格审查，通过资格审查的单位进入比选。比选按遂宁市商务局关于服务采购的相关规定，采用“综合评分法”，由比选评审专家组根据参选单位基本情况无记名评分（评分标准见附件），得分最高的单位确定为比选中选单位。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联系人：李蓉  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方正仿宋_GBK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联系电话：15182534231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附件：</w:t>
      </w:r>
      <w:r>
        <w:rPr>
          <w:rFonts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项目比选评分标准</w:t>
      </w:r>
    </w:p>
    <w:p>
      <w:pPr>
        <w:widowControl/>
        <w:shd w:val="clear" w:color="auto" w:fill="FFFFFF"/>
        <w:spacing w:line="600" w:lineRule="atLeast"/>
        <w:ind w:firstLine="1593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比选报名表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ind w:firstLine="640" w:firstLineChars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atLeast"/>
        <w:ind w:right="1642" w:firstLine="0" w:firstLineChars="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遂宁市商务局</w:t>
      </w:r>
    </w:p>
    <w:p>
      <w:pPr>
        <w:widowControl/>
        <w:shd w:val="clear" w:color="auto" w:fill="FFFFFF"/>
        <w:spacing w:line="600" w:lineRule="atLeast"/>
        <w:ind w:right="1241" w:firstLine="0" w:firstLineChars="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ind w:firstLine="420"/>
        <w:rPr>
          <w:rFonts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br w:type="page"/>
      </w:r>
    </w:p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spacing w:line="600" w:lineRule="atLeast"/>
        <w:ind w:firstLine="0" w:firstLineChars="0"/>
        <w:rPr>
          <w:rFonts w:ascii="Calibri" w:hAnsi="Calibri" w:eastAsia="宋体" w:cs="Calibri"/>
          <w:color w:val="000000"/>
          <w:kern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cs="Times New Roman"/>
          <w:color w:val="000000"/>
          <w:kern w:val="0"/>
          <w:sz w:val="32"/>
          <w:szCs w:val="32"/>
        </w:rPr>
        <w:t>1</w:t>
      </w:r>
    </w:p>
    <w:p>
      <w:pPr>
        <w:widowControl/>
        <w:shd w:val="clear" w:color="auto" w:fill="FFFFFF"/>
        <w:spacing w:line="600" w:lineRule="atLeast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项目比选评分标准</w:t>
      </w:r>
    </w:p>
    <w:tbl>
      <w:tblPr>
        <w:tblStyle w:val="16"/>
        <w:tblpPr w:leftFromText="180" w:rightFromText="180" w:vertAnchor="text" w:horzAnchor="page" w:tblpX="1318" w:tblpY="474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559"/>
        <w:gridCol w:w="524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评审项目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报价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以有效比选申请人的比选报价之和的算术平均值为基准价，各比选申请人的报价等于基准价的得满分，各比选申请人的报价每低于或高于基准价1%扣0.5分，扣完为止。（不足1%按1%计算）。</w:t>
            </w:r>
          </w:p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有效比选申请人是指：通过初步审查的比选申请人。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技术和服务方案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根据比选申请人针对本项目制定的技术和实施方案进行评分：</w:t>
            </w:r>
          </w:p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包含但不限于：项目工作重点、项目调研安排、工作计划及进度控制、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项目拟解决的核心问题、主要研究内容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以上内容完整齐全、描述清晰具体、满足项目实际需求的得25分；每有一项内容缺失或存在重大缺陷的扣5分；每有一项内容存在不足或不符合本项目要求的扣2分；本项扣完为止。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履约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（1）履约业绩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2023年以来，比选申请人提交物流行业研究项目业绩的，每有1个得5分，最多得20分。</w:t>
            </w:r>
          </w:p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注：提供中标（成交）通知书或合同协议书复印件首末页，复印件加盖比选申请人公章鲜章。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（2）人员配置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根据比选申请人拟派本项目人员情况进行评分：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项目负责人：具有正高级职称得5分；具有高级职称得2分；本项最高得5分。</w:t>
            </w:r>
          </w:p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2、项目其他人员：不包含项目负责人，每具有1名正高级职称得5分；每具有1名高级职称得3分；本项最高得20分。</w:t>
            </w:r>
          </w:p>
          <w:p>
            <w:pPr>
              <w:widowControl/>
              <w:spacing w:line="440" w:lineRule="exact"/>
              <w:ind w:firstLine="42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注：1、以上人员不重复计分。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2、提供相应的有效证书复印件，复印件加盖供应商公章鲜章。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1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：重大缺陷是指与本项目完全无关，或存在凭空编造，或其他不可能实现的夸大情形等情况；内容存在不足或不符合本项目要求指：方案内容不切合行业实际、不符合行业政策；或方案内容生搬硬造，与实际情况不符，存在偏差；或方案内容过于简略，存在与项目无关的文字内容；或内容不适用项目实际情况；或内容逻辑漏洞或原理错误；或方案中内容前后不一致、前后逻辑错误、涉及的规范及标准错误；或方案中存在地点区域错误，不符合项目实际情况等。</w:t>
            </w:r>
          </w:p>
        </w:tc>
      </w:tr>
    </w:tbl>
    <w:p>
      <w:pPr>
        <w:widowControl/>
        <w:shd w:val="clear" w:color="auto" w:fill="FFFFFF"/>
        <w:spacing w:line="600" w:lineRule="atLeast"/>
        <w:ind w:firstLine="0" w:firstLineChars="0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</w:rPr>
      </w:pPr>
    </w:p>
    <w:p>
      <w:pPr>
        <w:widowControl/>
        <w:spacing w:line="240" w:lineRule="auto"/>
        <w:ind w:firstLine="0" w:firstLineChars="0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spacing w:line="600" w:lineRule="atLeast"/>
        <w:ind w:firstLine="0" w:firstLineChars="0"/>
        <w:rPr>
          <w:rFonts w:ascii="Calibri" w:hAnsi="Calibri" w:eastAsia="宋体" w:cs="Calibri"/>
          <w:color w:val="000000"/>
          <w:kern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cs="Times New Roman"/>
          <w:color w:val="000000"/>
          <w:kern w:val="0"/>
          <w:sz w:val="32"/>
          <w:szCs w:val="32"/>
        </w:rPr>
        <w:t>2</w:t>
      </w:r>
    </w:p>
    <w:p>
      <w:pPr>
        <w:widowControl/>
        <w:shd w:val="clear" w:color="auto" w:fill="FFFFFF"/>
        <w:spacing w:line="600" w:lineRule="atLeast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比选报名表</w:t>
      </w:r>
    </w:p>
    <w:p>
      <w:pPr>
        <w:widowControl/>
        <w:shd w:val="clear" w:color="auto" w:fill="FFFFFF"/>
        <w:spacing w:line="600" w:lineRule="atLeast"/>
        <w:ind w:firstLine="0" w:firstLineChars="0"/>
        <w:jc w:val="center"/>
        <w:rPr>
          <w:rFonts w:ascii="Arial" w:hAnsi="Arial" w:eastAsia="宋体" w:cs="Arial"/>
          <w:b/>
          <w:bCs/>
          <w:color w:val="000000"/>
          <w:kern w:val="0"/>
          <w:sz w:val="20"/>
          <w:szCs w:val="20"/>
        </w:rPr>
      </w:pPr>
    </w:p>
    <w:tbl>
      <w:tblPr>
        <w:tblStyle w:val="16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8"/>
        <w:gridCol w:w="36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参选单位名称：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单位性质：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textAlignment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通讯地址：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60" w:lineRule="atLeast"/>
              <w:ind w:firstLine="0" w:firstLineChars="0"/>
              <w:textAlignment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联系方式：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比选项目名称：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2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line="360" w:lineRule="atLeast"/>
              <w:ind w:firstLine="560" w:firstLineChars="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ind w:firstLine="560" w:firstLineChars="0"/>
              <w:textAlignment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本单位保证参与比选工作提交的资料全部真实、有效。</w:t>
            </w:r>
          </w:p>
          <w:p>
            <w:pPr>
              <w:widowControl/>
              <w:spacing w:line="360" w:lineRule="atLeast"/>
              <w:ind w:firstLine="2660" w:firstLineChars="95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ind w:firstLine="2660" w:firstLineChars="95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ind w:firstLine="2660" w:firstLineChars="95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ind w:firstLine="2660" w:firstLineChars="95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     位（盖章）：</w:t>
            </w:r>
          </w:p>
          <w:p>
            <w:pPr>
              <w:widowControl/>
              <w:spacing w:line="360" w:lineRule="atLeast"/>
              <w:ind w:firstLine="2280" w:firstLineChars="950"/>
              <w:textAlignment w:val="center"/>
              <w:rPr>
                <w:rFonts w:ascii="Calibri" w:hAnsi="Calibri" w:eastAsia="宋体" w:cs="Calibri"/>
                <w:kern w:val="0"/>
              </w:rPr>
            </w:pPr>
          </w:p>
          <w:p>
            <w:pPr>
              <w:widowControl/>
              <w:spacing w:line="360" w:lineRule="atLeast"/>
              <w:ind w:firstLine="2660" w:firstLineChars="950"/>
              <w:textAlignment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单位负责人（签章）：</w:t>
            </w:r>
          </w:p>
          <w:p>
            <w:pPr>
              <w:widowControl/>
              <w:spacing w:line="360" w:lineRule="atLeast"/>
              <w:ind w:firstLine="2280" w:firstLineChars="950"/>
              <w:textAlignment w:val="center"/>
              <w:rPr>
                <w:rFonts w:ascii="Calibri" w:hAnsi="Calibri" w:eastAsia="宋体" w:cs="Calibri"/>
                <w:kern w:val="0"/>
              </w:rPr>
            </w:pPr>
          </w:p>
          <w:p>
            <w:pPr>
              <w:widowControl/>
              <w:spacing w:line="360" w:lineRule="atLeast"/>
              <w:ind w:firstLine="2520" w:firstLineChars="900"/>
              <w:textAlignment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填写日期：    年  月  日</w:t>
            </w: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华文中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11619"/>
    <w:multiLevelType w:val="singleLevel"/>
    <w:tmpl w:val="B92116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98"/>
    <w:rsid w:val="00066611"/>
    <w:rsid w:val="000B7E22"/>
    <w:rsid w:val="00195EA9"/>
    <w:rsid w:val="001C1CED"/>
    <w:rsid w:val="00281CE9"/>
    <w:rsid w:val="002E3AD9"/>
    <w:rsid w:val="002F14F2"/>
    <w:rsid w:val="00370263"/>
    <w:rsid w:val="00396545"/>
    <w:rsid w:val="003C5BCF"/>
    <w:rsid w:val="00447EF0"/>
    <w:rsid w:val="00466EBF"/>
    <w:rsid w:val="00475C85"/>
    <w:rsid w:val="004B634A"/>
    <w:rsid w:val="005039E3"/>
    <w:rsid w:val="00550A47"/>
    <w:rsid w:val="005C1F99"/>
    <w:rsid w:val="00610FCA"/>
    <w:rsid w:val="007B71AF"/>
    <w:rsid w:val="00893F0D"/>
    <w:rsid w:val="008F19D2"/>
    <w:rsid w:val="0091615E"/>
    <w:rsid w:val="009745F4"/>
    <w:rsid w:val="009E1B94"/>
    <w:rsid w:val="009F531C"/>
    <w:rsid w:val="00A33E79"/>
    <w:rsid w:val="00AA715C"/>
    <w:rsid w:val="00B26E71"/>
    <w:rsid w:val="00B8624E"/>
    <w:rsid w:val="00B93BB5"/>
    <w:rsid w:val="00BB61E3"/>
    <w:rsid w:val="00BF062D"/>
    <w:rsid w:val="00C12031"/>
    <w:rsid w:val="00C25E21"/>
    <w:rsid w:val="00C651B3"/>
    <w:rsid w:val="00C70898"/>
    <w:rsid w:val="00CA633E"/>
    <w:rsid w:val="00D12E2D"/>
    <w:rsid w:val="00D25582"/>
    <w:rsid w:val="00D358A9"/>
    <w:rsid w:val="00DC2083"/>
    <w:rsid w:val="00E467E9"/>
    <w:rsid w:val="00EC25C0"/>
    <w:rsid w:val="00F166ED"/>
    <w:rsid w:val="00F45B9F"/>
    <w:rsid w:val="00FF535D"/>
    <w:rsid w:val="3DBDAE69"/>
    <w:rsid w:val="5A778AE9"/>
    <w:rsid w:val="777BB1FF"/>
    <w:rsid w:val="79FDC7AF"/>
    <w:rsid w:val="7EF6351F"/>
    <w:rsid w:val="7FC2A35D"/>
    <w:rsid w:val="DFFF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Songti SC" w:cs="Times New Roman (正文 CS 字体)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rFonts w:ascii="Times New Roman" w:hAnsi="Times New Roman" w:eastAsia="Songti SC" w:cs="Times New Roman (正文 CS 字体)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rFonts w:ascii="Times New Roman" w:hAnsi="Times New Roman" w:eastAsia="Songti SC" w:cs="Times New Roman (正文 CS 字体)"/>
      <w:i/>
      <w:iCs/>
      <w:color w:val="2F5597" w:themeColor="accent1" w:themeShade="BF"/>
      <w:sz w:val="24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1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</w:rPr>
  </w:style>
  <w:style w:type="paragraph" w:customStyle="1" w:styleId="38">
    <w:name w:val="p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</w:rPr>
  </w:style>
  <w:style w:type="character" w:customStyle="1" w:styleId="39">
    <w:name w:val="页眉 字符"/>
    <w:basedOn w:val="17"/>
    <w:link w:val="12"/>
    <w:qFormat/>
    <w:uiPriority w:val="99"/>
    <w:rPr>
      <w:rFonts w:ascii="Times New Roman" w:hAnsi="Times New Roman" w:eastAsia="Songti SC" w:cs="Times New Roman (正文 CS 字体)"/>
      <w:kern w:val="2"/>
      <w:sz w:val="18"/>
      <w:szCs w:val="18"/>
    </w:rPr>
  </w:style>
  <w:style w:type="character" w:customStyle="1" w:styleId="40">
    <w:name w:val="页脚 字符"/>
    <w:basedOn w:val="17"/>
    <w:link w:val="11"/>
    <w:qFormat/>
    <w:uiPriority w:val="99"/>
    <w:rPr>
      <w:rFonts w:ascii="Times New Roman" w:hAnsi="Times New Roman" w:eastAsia="Songti SC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</Words>
  <Characters>2296</Characters>
  <Lines>19</Lines>
  <Paragraphs>5</Paragraphs>
  <TotalTime>45</TotalTime>
  <ScaleCrop>false</ScaleCrop>
  <LinksUpToDate>false</LinksUpToDate>
  <CharactersWithSpaces>2693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2025-03-26T16:55:00Z</dcterms:created>
  <dc:creator>Microsoft Office User</dc:creator>
  <cp:lastModifiedBy>lirong</cp:lastModifiedBy>
  <dcterms:modified xsi:type="dcterms:W3CDTF">2025-04-15T14:41:05Z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2ECABF99840CBFD2936DF767CFD4B365</vt:lpwstr>
  </property>
</Properties>
</file>